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DE" w:rsidRDefault="00235FDE">
      <w:r>
        <w:t xml:space="preserve">Flow Metrics </w:t>
      </w:r>
      <w:proofErr w:type="spellStart"/>
      <w:r>
        <w:t>vs</w:t>
      </w:r>
      <w:proofErr w:type="spellEnd"/>
      <w:r>
        <w:t xml:space="preserve"> </w:t>
      </w:r>
      <w:proofErr w:type="spellStart"/>
      <w:r>
        <w:t>Moz</w:t>
      </w:r>
      <w:proofErr w:type="spellEnd"/>
      <w:r>
        <w:t xml:space="preserve"> Metrics </w:t>
      </w:r>
      <w:proofErr w:type="spellStart"/>
      <w:r>
        <w:t>vs</w:t>
      </w:r>
      <w:proofErr w:type="spellEnd"/>
      <w:r>
        <w:t xml:space="preserve"> Page Rank</w:t>
      </w:r>
    </w:p>
    <w:p w:rsidR="00235FDE" w:rsidRDefault="00235FDE">
      <w:r>
        <w:t xml:space="preserve">Today, MajesticSEO have launched a new set of metrics, based on iterative flow of data through links. I know I am not fooling anyone in the know that I am impartial – as I am Majestic </w:t>
      </w:r>
      <w:proofErr w:type="spellStart"/>
      <w:r>
        <w:t>SEO’s</w:t>
      </w:r>
      <w:proofErr w:type="spellEnd"/>
      <w:r>
        <w:t xml:space="preserve"> marketing director, but I’m also a </w:t>
      </w:r>
      <w:proofErr w:type="spellStart"/>
      <w:r>
        <w:t>MozPro</w:t>
      </w:r>
      <w:proofErr w:type="spellEnd"/>
      <w:r>
        <w:t xml:space="preserve"> user as well </w:t>
      </w:r>
      <w:r>
        <w:sym w:font="Wingdings" w:char="F04A"/>
      </w:r>
    </w:p>
    <w:p w:rsidR="00235FDE" w:rsidRDefault="00235FDE">
      <w:r>
        <w:t xml:space="preserve">So I asked one of our team to go to a random Wikipedia article, take every third word, put the word into Google and select the third result 50 times. I then asked him to record the following data for every URL in his list, so we could all start comparing the new metrics with </w:t>
      </w:r>
      <w:proofErr w:type="spellStart"/>
      <w:r>
        <w:t>Moz</w:t>
      </w:r>
      <w:proofErr w:type="spellEnd"/>
      <w:r>
        <w:t xml:space="preserve"> metrics and with Page Rank. Here’s the resulting list with the following:</w:t>
      </w:r>
    </w:p>
    <w:p w:rsidR="00D5655B" w:rsidRDefault="00B43074">
      <w:r>
        <w:t>Correlation Tables with Page Rank</w:t>
      </w:r>
      <w:r w:rsidR="00D5655B">
        <w:t xml:space="preserve"> summary:</w:t>
      </w:r>
    </w:p>
    <w:tbl>
      <w:tblPr>
        <w:tblStyle w:val="TableGrid"/>
        <w:tblW w:w="0" w:type="auto"/>
        <w:tblLook w:val="00BF"/>
      </w:tblPr>
      <w:tblGrid>
        <w:gridCol w:w="1208"/>
        <w:gridCol w:w="1134"/>
      </w:tblGrid>
      <w:tr w:rsidR="00D5655B" w:rsidTr="00B86848">
        <w:tc>
          <w:tcPr>
            <w:tcW w:w="1208" w:type="dxa"/>
          </w:tcPr>
          <w:p w:rsidR="00D5655B" w:rsidRDefault="00B86848">
            <w:r>
              <w:t>Domain Authority</w:t>
            </w:r>
          </w:p>
        </w:tc>
        <w:tc>
          <w:tcPr>
            <w:tcW w:w="1134" w:type="dxa"/>
          </w:tcPr>
          <w:p w:rsidR="00D5655B" w:rsidRDefault="00B86848">
            <w:r>
              <w:t>.787</w:t>
            </w:r>
          </w:p>
        </w:tc>
      </w:tr>
      <w:tr w:rsidR="00D5655B" w:rsidTr="00B86848">
        <w:tc>
          <w:tcPr>
            <w:tcW w:w="1208" w:type="dxa"/>
          </w:tcPr>
          <w:p w:rsidR="00D5655B" w:rsidRDefault="00B86848">
            <w:proofErr w:type="spellStart"/>
            <w:r>
              <w:t>Moztrust</w:t>
            </w:r>
            <w:proofErr w:type="spellEnd"/>
          </w:p>
        </w:tc>
        <w:tc>
          <w:tcPr>
            <w:tcW w:w="1134" w:type="dxa"/>
          </w:tcPr>
          <w:p w:rsidR="00D5655B" w:rsidRDefault="00B86848">
            <w:r>
              <w:t>.119</w:t>
            </w:r>
          </w:p>
        </w:tc>
      </w:tr>
      <w:tr w:rsidR="00D5655B" w:rsidTr="00B86848"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D5655B" w:rsidRDefault="00B86848">
            <w:proofErr w:type="spellStart"/>
            <w:r>
              <w:t>MozRank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5655B" w:rsidRDefault="00B86848">
            <w:r>
              <w:t>.014</w:t>
            </w:r>
          </w:p>
        </w:tc>
      </w:tr>
      <w:tr w:rsidR="00D5655B" w:rsidTr="00B86848">
        <w:tc>
          <w:tcPr>
            <w:tcW w:w="1208" w:type="dxa"/>
            <w:shd w:val="clear" w:color="auto" w:fill="CCFFCC"/>
          </w:tcPr>
          <w:p w:rsidR="00D5655B" w:rsidRDefault="00B86848">
            <w:r>
              <w:t>Citation flow</w:t>
            </w:r>
          </w:p>
        </w:tc>
        <w:tc>
          <w:tcPr>
            <w:tcW w:w="1134" w:type="dxa"/>
            <w:shd w:val="clear" w:color="auto" w:fill="CCFFCC"/>
          </w:tcPr>
          <w:p w:rsidR="00D5655B" w:rsidRDefault="00B86848">
            <w:r>
              <w:t>.814</w:t>
            </w:r>
          </w:p>
        </w:tc>
      </w:tr>
      <w:tr w:rsidR="00B86848" w:rsidTr="00B86848">
        <w:tc>
          <w:tcPr>
            <w:tcW w:w="1208" w:type="dxa"/>
          </w:tcPr>
          <w:p w:rsidR="00B86848" w:rsidRDefault="00B86848">
            <w:r>
              <w:t>Trust flow</w:t>
            </w:r>
          </w:p>
        </w:tc>
        <w:tc>
          <w:tcPr>
            <w:tcW w:w="1134" w:type="dxa"/>
          </w:tcPr>
          <w:p w:rsidR="00B86848" w:rsidRDefault="00B86848">
            <w:r>
              <w:t>.746</w:t>
            </w:r>
          </w:p>
        </w:tc>
      </w:tr>
    </w:tbl>
    <w:p w:rsidR="00D5655B" w:rsidRDefault="00D5655B"/>
    <w:p w:rsidR="00B43074" w:rsidRDefault="00B86848">
      <w:r>
        <w:t>Details:</w:t>
      </w:r>
    </w:p>
    <w:tbl>
      <w:tblPr>
        <w:tblStyle w:val="TableGrid"/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shd w:val="clear" w:color="auto" w:fill="33CCCC"/>
        <w:tblLayout w:type="fixed"/>
        <w:tblLook w:val="00BF"/>
      </w:tblPr>
      <w:tblGrid>
        <w:gridCol w:w="2518"/>
        <w:gridCol w:w="851"/>
        <w:gridCol w:w="850"/>
        <w:gridCol w:w="567"/>
        <w:gridCol w:w="567"/>
        <w:gridCol w:w="709"/>
        <w:gridCol w:w="567"/>
      </w:tblGrid>
      <w:tr w:rsidR="00B43074">
        <w:trPr>
          <w:cantSplit/>
          <w:trHeight w:val="1619"/>
        </w:trPr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URL</w:t>
            </w:r>
          </w:p>
        </w:tc>
        <w:tc>
          <w:tcPr>
            <w:tcW w:w="851" w:type="dxa"/>
            <w:shd w:val="clear" w:color="auto" w:fill="33CCCC"/>
            <w:textDirection w:val="btLr"/>
            <w:vAlign w:val="bottom"/>
          </w:tcPr>
          <w:p w:rsidR="00B43074" w:rsidRDefault="00B43074" w:rsidP="00B43074">
            <w:pPr>
              <w:spacing w:after="200"/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Domain Authority</w:t>
            </w:r>
          </w:p>
        </w:tc>
        <w:tc>
          <w:tcPr>
            <w:tcW w:w="850" w:type="dxa"/>
            <w:shd w:val="clear" w:color="auto" w:fill="33CCCC"/>
            <w:textDirection w:val="btLr"/>
            <w:vAlign w:val="bottom"/>
          </w:tcPr>
          <w:p w:rsidR="00B43074" w:rsidRDefault="00B43074" w:rsidP="00B43074">
            <w:pPr>
              <w:spacing w:after="200"/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MozTrust</w:t>
            </w:r>
            <w:proofErr w:type="spellEnd"/>
          </w:p>
        </w:tc>
        <w:tc>
          <w:tcPr>
            <w:tcW w:w="567" w:type="dxa"/>
            <w:shd w:val="clear" w:color="auto" w:fill="33CCCC"/>
            <w:textDirection w:val="btLr"/>
            <w:vAlign w:val="bottom"/>
          </w:tcPr>
          <w:p w:rsidR="00B43074" w:rsidRDefault="00B43074" w:rsidP="00B43074">
            <w:pPr>
              <w:spacing w:after="200"/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MozRank</w:t>
            </w:r>
            <w:proofErr w:type="spellEnd"/>
          </w:p>
        </w:tc>
        <w:tc>
          <w:tcPr>
            <w:tcW w:w="567" w:type="dxa"/>
            <w:shd w:val="clear" w:color="auto" w:fill="33CCCC"/>
            <w:textDirection w:val="btLr"/>
            <w:vAlign w:val="bottom"/>
          </w:tcPr>
          <w:p w:rsidR="00B43074" w:rsidRDefault="00B43074" w:rsidP="00B43074">
            <w:pPr>
              <w:spacing w:after="200"/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CitationFlow</w:t>
            </w:r>
            <w:proofErr w:type="spellEnd"/>
          </w:p>
        </w:tc>
        <w:tc>
          <w:tcPr>
            <w:tcW w:w="709" w:type="dxa"/>
            <w:shd w:val="clear" w:color="auto" w:fill="33CCCC"/>
            <w:textDirection w:val="btLr"/>
            <w:vAlign w:val="bottom"/>
          </w:tcPr>
          <w:p w:rsidR="00B43074" w:rsidRDefault="00B43074" w:rsidP="00B43074">
            <w:pPr>
              <w:spacing w:after="200"/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TrustFlow</w:t>
            </w:r>
            <w:proofErr w:type="spellEnd"/>
          </w:p>
        </w:tc>
        <w:tc>
          <w:tcPr>
            <w:tcW w:w="567" w:type="dxa"/>
            <w:shd w:val="clear" w:color="auto" w:fill="33CCCC"/>
            <w:textDirection w:val="btLr"/>
            <w:vAlign w:val="bottom"/>
          </w:tcPr>
          <w:p w:rsidR="00B43074" w:rsidRDefault="00B43074" w:rsidP="00B43074">
            <w:pPr>
              <w:spacing w:after="200"/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Page Rank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http://prototype-window.xilinus.com/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63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4.71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41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http://www.conorobrienracing.com/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5.48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3.03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http://vintagetwists.co.uk/shop/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26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http://www.native-instruments.com/#/en/products/producer/powered-by-kontakt/damage/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83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63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http://www.beautiful-devon.co.uk/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47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4.78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41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http://www.screenreader.net/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68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6.25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6.23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50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7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http://www.midlandwheels.com/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32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5.77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34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http://www.lovemycow.com/ourbeef.php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24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5.42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2.72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http://www.privatetheseries.com/private/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35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5.73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4.18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http://www.rareteacompany.com/stockists/restaurants/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44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5.81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4.56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http://www.wto.org/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94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6.58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6.62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65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74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8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http://www.nationalgrid.com/UK/Community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77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6.21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5.69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34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http://www.decadesinc.com/press.shtml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52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6.03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4.32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21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http://www.combatsportsgroup.com/combat/pg_GearCategory.php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?int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_ProductGearType=7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46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4.87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Unranked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http://eu.wiley.com/WileyCDA/Section/id-302257.html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95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2.04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52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http://www.accessallareas.org/main.html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44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5.78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4.41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40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http://www.pagepersonnel.co.uk/sitemap.html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39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5.33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24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http://www.undp.org/content/undp/en/home.html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95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73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82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9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http://www.historynet.com/heritage-travel-directory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86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6.14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5.22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46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http://thoughcowardsflinch.com/about-us/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52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3.97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27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http://www.flow.com/Privacy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64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4.95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38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http://www.squintlimited.com/about/interior_design/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48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22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http://www.londonschool.com/news/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50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4.89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31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http://www.webelements.com/iron/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86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6.13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54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http://www.psychologytoday.com/basics/embarrassment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91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6.14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4.57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http://www.wwuk.org/wwukwolves.htm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30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5.09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30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http://www.alanhudson.net/what-hire-magician.htm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39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32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http://www.nomadwheelchairs.com/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32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5.78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http://www.picture-ltd.com/#/tv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35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40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http://www.planetrock.com/events/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62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47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http://www.differentrecordings.com/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36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4.04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42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http://dcmidnight.com/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30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5.25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2.65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21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http://www.shacklewellarms.com/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39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4.63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34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http://www.mettricksbutchers.co.uk/my_points_help.php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?osCsid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=v6gktmu3199c6291jdql8hfe32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34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5.72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4.38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27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http://running.sweatshop.co.uk/nav/cat1/mensrunningclothing/0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60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4.75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34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http://www.opodo.co.uk/opodo/flights/flights?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73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4.77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38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http://www.gateinstaller.co.uk/wrought_iron_gates/whybuy.html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33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5.79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4.87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28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http://www.emeraldm3d.com/rolling-road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35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5.63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4.29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http://rainbowmotorcycles.com/search.php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25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5.64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4.16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http://www.portmeirion-village.com/content.php?nID=123;lID=1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61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http://www.farrow-ball.com/colours/paint/fcp-category/list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69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5.19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24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http://www.hills-homes.co.uk/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5.75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3.93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25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http://www.manukahoney.co.uk/howtouse.html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45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5.77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43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51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http://www.strangemag.com/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57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4.37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40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E70351">
            <w:pPr>
              <w:spacing w:after="200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hyperlink r:id="rId4" w:history="1">
              <w:r w:rsidR="00B43074">
                <w:rPr>
                  <w:rStyle w:val="Hyperlink"/>
                  <w:rFonts w:ascii="Calibri" w:hAnsi="Calibri"/>
                  <w:sz w:val="22"/>
                  <w:szCs w:val="22"/>
                </w:rPr>
                <w:t>http://www.justeternityrings.co.uk/eternity-rings-full/18ct-white-gold-full-eternity-rings.html</w:t>
              </w:r>
            </w:hyperlink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23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5.65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4.32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http://www.weatherwizkids.com/weather-wind.htm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72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6.12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5.15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48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http://www.thisiszone.com/people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32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30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E70351">
            <w:pPr>
              <w:spacing w:after="200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hyperlink r:id="rId5" w:history="1">
              <w:r w:rsidR="00B43074">
                <w:rPr>
                  <w:rStyle w:val="Hyperlink"/>
                  <w:rFonts w:ascii="Calibri" w:hAnsi="Calibri"/>
                  <w:sz w:val="22"/>
                  <w:szCs w:val="22"/>
                </w:rPr>
                <w:t>http://www.satellite-evolution.com/group/site/</w:t>
              </w:r>
            </w:hyperlink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38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4.88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35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23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4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http://www.flashearth.com/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76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6.11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5.37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60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65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7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http://www.bellway.co.uk/special-offers</w:t>
            </w: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50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5.96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5.89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29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3</w:t>
            </w: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rPr>
                <w:rFonts w:asciiTheme="majorHAnsi" w:hAnsiTheme="majorHAnsi"/>
                <w:color w:val="000000"/>
                <w:sz w:val="16"/>
                <w:szCs w:val="22"/>
              </w:rPr>
            </w:pPr>
          </w:p>
        </w:tc>
      </w:tr>
      <w:tr w:rsidR="00B43074">
        <w:tc>
          <w:tcPr>
            <w:tcW w:w="2518" w:type="dxa"/>
            <w:shd w:val="clear" w:color="auto" w:fill="33CCCC"/>
            <w:vAlign w:val="bottom"/>
          </w:tcPr>
          <w:p w:rsidR="00B43074" w:rsidRDefault="00B43074">
            <w:pPr>
              <w:spacing w:after="2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Correlation with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PageRank</w:t>
            </w:r>
            <w:proofErr w:type="spellEnd"/>
          </w:p>
        </w:tc>
        <w:tc>
          <w:tcPr>
            <w:tcW w:w="851" w:type="dxa"/>
            <w:shd w:val="clear" w:color="auto" w:fill="33CCCC"/>
            <w:vAlign w:val="bottom"/>
          </w:tcPr>
          <w:p w:rsidR="00B43074" w:rsidRPr="00B43074" w:rsidRDefault="00B43074" w:rsidP="00B43074">
            <w:pPr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.787</w:t>
            </w:r>
          </w:p>
        </w:tc>
        <w:tc>
          <w:tcPr>
            <w:tcW w:w="850" w:type="dxa"/>
            <w:shd w:val="clear" w:color="auto" w:fill="33CCCC"/>
            <w:vAlign w:val="bottom"/>
          </w:tcPr>
          <w:p w:rsidR="00B43074" w:rsidRPr="00B43074" w:rsidRDefault="00B43074" w:rsidP="00B43074">
            <w:pPr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.119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 w:rsidP="00B43074">
            <w:pPr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.014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 w:rsidP="00B43074">
            <w:pPr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.814</w:t>
            </w:r>
          </w:p>
        </w:tc>
        <w:tc>
          <w:tcPr>
            <w:tcW w:w="709" w:type="dxa"/>
            <w:shd w:val="clear" w:color="auto" w:fill="33CCCC"/>
            <w:vAlign w:val="bottom"/>
          </w:tcPr>
          <w:p w:rsidR="00B43074" w:rsidRPr="00B43074" w:rsidRDefault="00B43074" w:rsidP="00B43074">
            <w:pPr>
              <w:jc w:val="center"/>
              <w:rPr>
                <w:rFonts w:asciiTheme="majorHAnsi" w:hAnsiTheme="majorHAnsi"/>
                <w:color w:val="000000"/>
                <w:sz w:val="16"/>
                <w:szCs w:val="22"/>
              </w:rPr>
            </w:pPr>
            <w:r w:rsidRPr="00B43074">
              <w:rPr>
                <w:rFonts w:asciiTheme="majorHAnsi" w:hAnsiTheme="majorHAnsi"/>
                <w:color w:val="000000"/>
                <w:sz w:val="16"/>
                <w:szCs w:val="22"/>
              </w:rPr>
              <w:t>.746</w:t>
            </w:r>
          </w:p>
        </w:tc>
        <w:tc>
          <w:tcPr>
            <w:tcW w:w="567" w:type="dxa"/>
            <w:shd w:val="clear" w:color="auto" w:fill="33CCCC"/>
            <w:vAlign w:val="bottom"/>
          </w:tcPr>
          <w:p w:rsidR="00B43074" w:rsidRPr="00B43074" w:rsidRDefault="00B43074">
            <w:pPr>
              <w:spacing w:after="200"/>
              <w:rPr>
                <w:rFonts w:asciiTheme="majorHAnsi" w:hAnsiTheme="majorHAnsi"/>
                <w:color w:val="000000"/>
                <w:sz w:val="16"/>
                <w:szCs w:val="22"/>
              </w:rPr>
            </w:pPr>
          </w:p>
        </w:tc>
      </w:tr>
    </w:tbl>
    <w:p w:rsidR="00AA7D76" w:rsidRDefault="00AA7D76"/>
    <w:p w:rsidR="00235FDE" w:rsidRDefault="00AA7D76">
      <w:r>
        <w:t xml:space="preserve">The strongest correlation is Citation flow in our study, even though Citation flow does not try to emulate Page Rank. Domain Authority comes in a close second, but at a URL level there really is no competition. Trust flow is not aiming to correlate with Page Rank but it is interesting to look for </w:t>
      </w:r>
      <w:proofErr w:type="gramStart"/>
      <w:r>
        <w:t>yourself</w:t>
      </w:r>
      <w:proofErr w:type="gramEnd"/>
      <w:r>
        <w:t xml:space="preserve"> to see sites with a high Domain Authority or Citation flow but with low Trust flows. Trust flow is something new – and very enlightening. </w:t>
      </w:r>
    </w:p>
    <w:sectPr w:rsidR="00235FDE" w:rsidSect="00235F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5FDE"/>
    <w:rsid w:val="00235FDE"/>
    <w:rsid w:val="00AA7D76"/>
    <w:rsid w:val="00B43074"/>
    <w:rsid w:val="00B86848"/>
    <w:rsid w:val="00D5655B"/>
    <w:rsid w:val="00E7035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8B7A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430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3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usteternityrings.co.uk/eternity-rings-full/18ct-white-gold-full-eternity-rings.html" TargetMode="External"/><Relationship Id="rId5" Type="http://schemas.openxmlformats.org/officeDocument/2006/relationships/hyperlink" Target="http://www.satellite-evolution.com/group/sit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678</Words>
  <Characters>3867</Characters>
  <Application>Microsoft Macintosh Word</Application>
  <DocSecurity>0</DocSecurity>
  <Lines>32</Lines>
  <Paragraphs>7</Paragraphs>
  <ScaleCrop>false</ScaleCrop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Jones</dc:creator>
  <cp:keywords/>
  <cp:lastModifiedBy>Dixon Jones</cp:lastModifiedBy>
  <cp:revision>2</cp:revision>
  <dcterms:created xsi:type="dcterms:W3CDTF">2012-05-11T15:53:00Z</dcterms:created>
  <dcterms:modified xsi:type="dcterms:W3CDTF">2012-05-13T19:12:00Z</dcterms:modified>
</cp:coreProperties>
</file>